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435" w:rsidRDefault="000C251F">
      <w:pPr>
        <w:jc w:val="center"/>
        <w:rPr>
          <w:b/>
          <w:bCs/>
          <w:color w:val="006666"/>
          <w:sz w:val="36"/>
          <w:szCs w:val="36"/>
        </w:rPr>
      </w:pPr>
      <w:r>
        <w:rPr>
          <w:b/>
          <w:bCs/>
          <w:noProof/>
          <w:color w:val="006666"/>
          <w:sz w:val="36"/>
          <w:szCs w:val="36"/>
        </w:rPr>
        <w:drawing>
          <wp:anchor distT="0" distB="0" distL="114300" distR="0" simplePos="0" relativeHeight="2" behindDoc="1" locked="0" layoutInCell="1" allowOverlap="1">
            <wp:simplePos x="0" y="0"/>
            <wp:positionH relativeFrom="margin">
              <wp:align>right</wp:align>
            </wp:positionH>
            <wp:positionV relativeFrom="paragraph">
              <wp:posOffset>368935</wp:posOffset>
            </wp:positionV>
            <wp:extent cx="2465705" cy="164465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4"/>
                    <a:stretch>
                      <a:fillRect/>
                    </a:stretch>
                  </pic:blipFill>
                  <pic:spPr bwMode="auto">
                    <a:xfrm>
                      <a:off x="0" y="0"/>
                      <a:ext cx="2465705" cy="1644650"/>
                    </a:xfrm>
                    <a:prstGeom prst="rect">
                      <a:avLst/>
                    </a:prstGeom>
                  </pic:spPr>
                </pic:pic>
              </a:graphicData>
            </a:graphic>
          </wp:anchor>
        </w:drawing>
      </w:r>
    </w:p>
    <w:p w:rsidR="00415435" w:rsidRDefault="00415435">
      <w:pPr>
        <w:jc w:val="center"/>
        <w:rPr>
          <w:b/>
          <w:bCs/>
          <w:color w:val="006666"/>
          <w:sz w:val="36"/>
          <w:szCs w:val="36"/>
        </w:rPr>
      </w:pPr>
    </w:p>
    <w:p w:rsidR="00415435" w:rsidRDefault="000C251F">
      <w:pPr>
        <w:jc w:val="center"/>
        <w:rPr>
          <w:b/>
          <w:bCs/>
          <w:color w:val="006666"/>
          <w:sz w:val="36"/>
          <w:szCs w:val="36"/>
        </w:rPr>
      </w:pPr>
      <w:r>
        <w:rPr>
          <w:b/>
          <w:bCs/>
          <w:color w:val="006666"/>
          <w:sz w:val="36"/>
          <w:szCs w:val="36"/>
        </w:rPr>
        <w:t xml:space="preserve">Bon de </w:t>
      </w:r>
      <w:r w:rsidR="00BB0EDD">
        <w:rPr>
          <w:b/>
          <w:bCs/>
          <w:color w:val="006666"/>
          <w:sz w:val="36"/>
          <w:szCs w:val="36"/>
        </w:rPr>
        <w:t>précommande</w:t>
      </w:r>
    </w:p>
    <w:p w:rsidR="00415435" w:rsidRDefault="000C251F">
      <w:pPr>
        <w:jc w:val="center"/>
        <w:rPr>
          <w:b/>
          <w:bCs/>
          <w:color w:val="000000" w:themeColor="text1"/>
          <w:sz w:val="28"/>
          <w:szCs w:val="28"/>
        </w:rPr>
      </w:pPr>
      <w:r>
        <w:rPr>
          <w:noProof/>
        </w:rPr>
        <w:drawing>
          <wp:inline distT="0" distB="0" distL="0" distR="0" wp14:anchorId="7FC623CC" wp14:editId="6F58438B">
            <wp:extent cx="2886075" cy="84021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C_Jardins_logo_CMJN_bandeau.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97346" cy="843491"/>
                    </a:xfrm>
                    <a:prstGeom prst="rect">
                      <a:avLst/>
                    </a:prstGeom>
                  </pic:spPr>
                </pic:pic>
              </a:graphicData>
            </a:graphic>
          </wp:inline>
        </w:drawing>
      </w:r>
    </w:p>
    <w:p w:rsidR="00415435" w:rsidRDefault="00415435">
      <w:pPr>
        <w:jc w:val="both"/>
        <w:rPr>
          <w:sz w:val="20"/>
          <w:szCs w:val="20"/>
        </w:rPr>
      </w:pPr>
    </w:p>
    <w:p w:rsidR="00415435" w:rsidRDefault="000C251F">
      <w:pPr>
        <w:jc w:val="both"/>
        <w:rPr>
          <w:sz w:val="20"/>
          <w:szCs w:val="20"/>
        </w:rPr>
      </w:pPr>
      <w:r>
        <w:rPr>
          <w:sz w:val="20"/>
          <w:szCs w:val="20"/>
        </w:rPr>
        <w:t xml:space="preserve">Votre jardin vous propose une commande groupée de spiruline, un </w:t>
      </w:r>
      <w:proofErr w:type="spellStart"/>
      <w:r>
        <w:rPr>
          <w:sz w:val="20"/>
          <w:szCs w:val="20"/>
        </w:rPr>
        <w:t>super-aliment</w:t>
      </w:r>
      <w:proofErr w:type="spellEnd"/>
      <w:r>
        <w:rPr>
          <w:sz w:val="20"/>
          <w:szCs w:val="20"/>
        </w:rPr>
        <w:t xml:space="preserve"> naturel et complet. </w:t>
      </w:r>
      <w:bookmarkStart w:id="0" w:name="_GoBack"/>
      <w:bookmarkEnd w:id="0"/>
    </w:p>
    <w:p w:rsidR="00415435" w:rsidRDefault="000C251F">
      <w:pPr>
        <w:jc w:val="both"/>
        <w:rPr>
          <w:sz w:val="20"/>
          <w:szCs w:val="20"/>
        </w:rPr>
      </w:pPr>
      <w:r>
        <w:rPr>
          <w:sz w:val="20"/>
          <w:szCs w:val="20"/>
        </w:rPr>
        <w:t xml:space="preserve">Cette algue microscopique est connue pour sa teneur exceptionnelle en protéines et en fer. Elle contient </w:t>
      </w:r>
      <w:r>
        <w:rPr>
          <w:sz w:val="20"/>
          <w:szCs w:val="20"/>
        </w:rPr>
        <w:t>aussi tout un panel de vitamines et d’oligo-éléments. Elle se consomme chaque jour dans vos plats, en mélangeant une cuillère à café dans vos yaourts, jus de fruits, salades, sauces, soupes…</w:t>
      </w:r>
    </w:p>
    <w:p w:rsidR="00415435" w:rsidRDefault="000C251F">
      <w:pPr>
        <w:jc w:val="both"/>
        <w:rPr>
          <w:sz w:val="20"/>
          <w:szCs w:val="20"/>
        </w:rPr>
      </w:pPr>
      <w:r>
        <w:rPr>
          <w:sz w:val="20"/>
          <w:szCs w:val="20"/>
        </w:rPr>
        <w:t xml:space="preserve">Le jardin de Cocagne </w:t>
      </w:r>
      <w:proofErr w:type="spellStart"/>
      <w:r>
        <w:rPr>
          <w:sz w:val="20"/>
          <w:szCs w:val="20"/>
        </w:rPr>
        <w:t>Optim’ism</w:t>
      </w:r>
      <w:proofErr w:type="spellEnd"/>
      <w:r>
        <w:rPr>
          <w:sz w:val="20"/>
          <w:szCs w:val="20"/>
        </w:rPr>
        <w:t xml:space="preserve"> cultive la spiruline dans des bass</w:t>
      </w:r>
      <w:r>
        <w:rPr>
          <w:sz w:val="20"/>
          <w:szCs w:val="20"/>
        </w:rPr>
        <w:t>ins d’eau sous serre sur sa ferme maraîchère de Riantec, dans le Morbihan. Cette production artisanale et solidaire garantit une spiruline de haute qualité et permet aux ouvriers du jardin de développer des compétences en aquaculture.</w:t>
      </w:r>
    </w:p>
    <w:p w:rsidR="00415435" w:rsidRDefault="000C251F">
      <w:pPr>
        <w:jc w:val="center"/>
        <w:rPr>
          <w:i/>
          <w:iCs/>
          <w:sz w:val="20"/>
          <w:szCs w:val="20"/>
        </w:rPr>
      </w:pPr>
      <w:r>
        <w:rPr>
          <w:i/>
          <w:iCs/>
          <w:sz w:val="20"/>
          <w:szCs w:val="20"/>
        </w:rPr>
        <w:t>Nous vous proposons …</w:t>
      </w:r>
    </w:p>
    <w:p w:rsidR="00415435" w:rsidRDefault="000C251F">
      <w:pPr>
        <w:jc w:val="both"/>
        <w:rPr>
          <w:sz w:val="20"/>
          <w:szCs w:val="20"/>
        </w:rPr>
      </w:pPr>
      <w:r>
        <w:rPr>
          <w:b/>
          <w:bCs/>
          <w:color w:val="006666"/>
          <w:sz w:val="20"/>
          <w:szCs w:val="20"/>
        </w:rPr>
        <w:t>La Spiruline du jardin</w:t>
      </w:r>
      <w:r>
        <w:rPr>
          <w:color w:val="006666"/>
          <w:sz w:val="20"/>
          <w:szCs w:val="20"/>
        </w:rPr>
        <w:t xml:space="preserve"> </w:t>
      </w:r>
      <w:r>
        <w:rPr>
          <w:sz w:val="20"/>
          <w:szCs w:val="20"/>
        </w:rPr>
        <w:t>: conditionnée en sachets de 100g en paillettes (pour la consommation quotidienne dans les plats et salades) ou en poudre (idéal pour diluer dans les boissons).</w:t>
      </w:r>
    </w:p>
    <w:p w:rsidR="00415435" w:rsidRDefault="000C251F">
      <w:pPr>
        <w:pBdr>
          <w:bottom w:val="single" w:sz="6" w:space="1" w:color="000000"/>
        </w:pBdr>
        <w:jc w:val="both"/>
        <w:rPr>
          <w:sz w:val="20"/>
          <w:szCs w:val="20"/>
        </w:rPr>
      </w:pPr>
      <w:proofErr w:type="spellStart"/>
      <w:r>
        <w:rPr>
          <w:b/>
          <w:bCs/>
          <w:color w:val="ED7D31" w:themeColor="accent2"/>
          <w:sz w:val="20"/>
          <w:szCs w:val="20"/>
        </w:rPr>
        <w:t>Koktel</w:t>
      </w:r>
      <w:proofErr w:type="spellEnd"/>
      <w:r>
        <w:rPr>
          <w:sz w:val="20"/>
          <w:szCs w:val="20"/>
        </w:rPr>
        <w:t> : Mélange pour cocktail tonique à base de spiruline, guarana, gi</w:t>
      </w:r>
      <w:r>
        <w:rPr>
          <w:sz w:val="20"/>
          <w:szCs w:val="20"/>
        </w:rPr>
        <w:t xml:space="preserve">ngembre, cynorhodon, poudre de fruit de baobab, curcuma. </w:t>
      </w:r>
      <w:proofErr w:type="spellStart"/>
      <w:r>
        <w:rPr>
          <w:sz w:val="20"/>
          <w:szCs w:val="20"/>
        </w:rPr>
        <w:t>A</w:t>
      </w:r>
      <w:proofErr w:type="spellEnd"/>
      <w:r>
        <w:rPr>
          <w:sz w:val="20"/>
          <w:szCs w:val="20"/>
        </w:rPr>
        <w:t xml:space="preserve"> diluer dans les jus de fruits et cocktails.</w:t>
      </w:r>
    </w:p>
    <w:p w:rsidR="00415435" w:rsidRDefault="00415435">
      <w:pPr>
        <w:pBdr>
          <w:bottom w:val="single" w:sz="6" w:space="1" w:color="000000"/>
        </w:pBdr>
        <w:jc w:val="both"/>
        <w:rPr>
          <w:sz w:val="20"/>
          <w:szCs w:val="20"/>
        </w:rPr>
      </w:pPr>
    </w:p>
    <w:p w:rsidR="00415435" w:rsidRDefault="000C251F">
      <w:pPr>
        <w:jc w:val="both"/>
        <w:rPr>
          <w:b/>
          <w:bCs/>
        </w:rPr>
      </w:pPr>
      <w:r>
        <w:rPr>
          <w:b/>
          <w:bCs/>
        </w:rPr>
        <w:t>NOM :</w:t>
      </w:r>
      <w:r>
        <w:rPr>
          <w:b/>
          <w:bCs/>
        </w:rPr>
        <w:tab/>
      </w:r>
      <w:r>
        <w:rPr>
          <w:b/>
          <w:bCs/>
        </w:rPr>
        <w:tab/>
      </w:r>
      <w:r>
        <w:rPr>
          <w:b/>
          <w:bCs/>
        </w:rPr>
        <w:tab/>
      </w:r>
      <w:r>
        <w:rPr>
          <w:b/>
          <w:bCs/>
        </w:rPr>
        <w:tab/>
      </w:r>
      <w:r>
        <w:rPr>
          <w:b/>
          <w:bCs/>
        </w:rPr>
        <w:tab/>
      </w:r>
      <w:r>
        <w:rPr>
          <w:b/>
          <w:bCs/>
        </w:rPr>
        <w:tab/>
        <w:t>PRENOM :</w:t>
      </w:r>
    </w:p>
    <w:p w:rsidR="00415435" w:rsidRDefault="000C251F">
      <w:pPr>
        <w:jc w:val="both"/>
        <w:rPr>
          <w:b/>
          <w:bCs/>
        </w:rPr>
      </w:pPr>
      <w:r>
        <w:rPr>
          <w:b/>
          <w:bCs/>
        </w:rPr>
        <w:t xml:space="preserve">TELEPHONE : </w:t>
      </w:r>
      <w:r>
        <w:rPr>
          <w:b/>
          <w:bCs/>
        </w:rPr>
        <w:tab/>
      </w:r>
      <w:r>
        <w:rPr>
          <w:b/>
          <w:bCs/>
        </w:rPr>
        <w:tab/>
      </w:r>
      <w:r>
        <w:rPr>
          <w:b/>
          <w:bCs/>
        </w:rPr>
        <w:tab/>
      </w:r>
      <w:r>
        <w:rPr>
          <w:b/>
          <w:bCs/>
        </w:rPr>
        <w:tab/>
      </w:r>
      <w:r>
        <w:rPr>
          <w:b/>
          <w:bCs/>
        </w:rPr>
        <w:tab/>
        <w:t>EMAIL :</w:t>
      </w:r>
    </w:p>
    <w:p w:rsidR="00BB0EDD" w:rsidRDefault="00BB0EDD">
      <w:pPr>
        <w:jc w:val="both"/>
        <w:rPr>
          <w:b/>
          <w:bCs/>
        </w:rPr>
      </w:pPr>
      <w:r>
        <w:rPr>
          <w:b/>
          <w:bCs/>
        </w:rPr>
        <w:t>RETRAIT :</w:t>
      </w:r>
      <w:r>
        <w:rPr>
          <w:b/>
          <w:bCs/>
        </w:rPr>
        <w:tab/>
      </w:r>
      <w:r w:rsidRPr="00BB0EDD">
        <w:rPr>
          <w:b/>
          <w:bCs/>
          <w:sz w:val="32"/>
        </w:rPr>
        <w:t>□</w:t>
      </w:r>
      <w:r>
        <w:rPr>
          <w:b/>
          <w:bCs/>
        </w:rPr>
        <w:t xml:space="preserve"> avec mon panier</w:t>
      </w:r>
      <w:r>
        <w:rPr>
          <w:b/>
          <w:bCs/>
        </w:rPr>
        <w:tab/>
      </w:r>
      <w:r w:rsidRPr="00BB0EDD">
        <w:rPr>
          <w:b/>
          <w:bCs/>
          <w:sz w:val="32"/>
        </w:rPr>
        <w:t>□</w:t>
      </w:r>
      <w:r>
        <w:rPr>
          <w:b/>
          <w:bCs/>
        </w:rPr>
        <w:t xml:space="preserve"> au Petit marché du mercredi, 9h30-12h30</w:t>
      </w:r>
    </w:p>
    <w:p w:rsidR="00415435" w:rsidRDefault="00415435"/>
    <w:tbl>
      <w:tblPr>
        <w:tblStyle w:val="Grilledutableau"/>
        <w:tblW w:w="9209" w:type="dxa"/>
        <w:tblLook w:val="04A0" w:firstRow="1" w:lastRow="0" w:firstColumn="1" w:lastColumn="0" w:noHBand="0" w:noVBand="1"/>
      </w:tblPr>
      <w:tblGrid>
        <w:gridCol w:w="4390"/>
        <w:gridCol w:w="1701"/>
        <w:gridCol w:w="1419"/>
        <w:gridCol w:w="1699"/>
      </w:tblGrid>
      <w:tr w:rsidR="00415435">
        <w:tc>
          <w:tcPr>
            <w:tcW w:w="4389" w:type="dxa"/>
            <w:shd w:val="clear" w:color="auto" w:fill="006666"/>
          </w:tcPr>
          <w:p w:rsidR="00415435" w:rsidRDefault="000C251F">
            <w:pPr>
              <w:spacing w:after="0" w:line="240" w:lineRule="auto"/>
              <w:jc w:val="center"/>
              <w:rPr>
                <w:b/>
                <w:bCs/>
                <w:color w:val="FFFFFF" w:themeColor="background1"/>
              </w:rPr>
            </w:pPr>
            <w:r>
              <w:rPr>
                <w:b/>
                <w:bCs/>
                <w:color w:val="FFFFFF" w:themeColor="background1"/>
              </w:rPr>
              <w:t>Article</w:t>
            </w:r>
          </w:p>
        </w:tc>
        <w:tc>
          <w:tcPr>
            <w:tcW w:w="1701" w:type="dxa"/>
            <w:shd w:val="clear" w:color="auto" w:fill="006666"/>
          </w:tcPr>
          <w:p w:rsidR="00415435" w:rsidRDefault="000C251F">
            <w:pPr>
              <w:spacing w:after="0" w:line="240" w:lineRule="auto"/>
              <w:jc w:val="center"/>
              <w:rPr>
                <w:b/>
                <w:bCs/>
                <w:color w:val="FFFFFF" w:themeColor="background1"/>
              </w:rPr>
            </w:pPr>
            <w:r>
              <w:rPr>
                <w:b/>
                <w:bCs/>
                <w:color w:val="FFFFFF" w:themeColor="background1"/>
              </w:rPr>
              <w:t>Tarif</w:t>
            </w:r>
          </w:p>
        </w:tc>
        <w:tc>
          <w:tcPr>
            <w:tcW w:w="1419" w:type="dxa"/>
            <w:shd w:val="clear" w:color="auto" w:fill="006666"/>
          </w:tcPr>
          <w:p w:rsidR="00415435" w:rsidRDefault="000C251F">
            <w:pPr>
              <w:spacing w:after="0" w:line="240" w:lineRule="auto"/>
              <w:jc w:val="center"/>
              <w:rPr>
                <w:b/>
                <w:bCs/>
                <w:color w:val="FFFFFF" w:themeColor="background1"/>
              </w:rPr>
            </w:pPr>
            <w:r>
              <w:rPr>
                <w:b/>
                <w:bCs/>
                <w:color w:val="FFFFFF" w:themeColor="background1"/>
              </w:rPr>
              <w:t>Quantité</w:t>
            </w:r>
          </w:p>
        </w:tc>
        <w:tc>
          <w:tcPr>
            <w:tcW w:w="1699" w:type="dxa"/>
            <w:shd w:val="clear" w:color="auto" w:fill="006666"/>
          </w:tcPr>
          <w:p w:rsidR="00415435" w:rsidRDefault="000C251F">
            <w:pPr>
              <w:spacing w:after="0" w:line="240" w:lineRule="auto"/>
              <w:jc w:val="center"/>
              <w:rPr>
                <w:b/>
                <w:bCs/>
                <w:color w:val="FFFFFF" w:themeColor="background1"/>
              </w:rPr>
            </w:pPr>
            <w:r>
              <w:rPr>
                <w:b/>
                <w:bCs/>
                <w:color w:val="FFFFFF" w:themeColor="background1"/>
              </w:rPr>
              <w:t>TOTAL</w:t>
            </w:r>
          </w:p>
        </w:tc>
      </w:tr>
      <w:tr w:rsidR="00415435">
        <w:trPr>
          <w:trHeight w:val="492"/>
        </w:trPr>
        <w:tc>
          <w:tcPr>
            <w:tcW w:w="4389" w:type="dxa"/>
            <w:shd w:val="clear" w:color="auto" w:fill="auto"/>
          </w:tcPr>
          <w:p w:rsidR="00415435" w:rsidRDefault="000C251F">
            <w:pPr>
              <w:spacing w:after="0" w:line="240" w:lineRule="auto"/>
              <w:rPr>
                <w:b/>
                <w:bCs/>
                <w:color w:val="FFFFFF" w:themeColor="background1"/>
              </w:rPr>
            </w:pPr>
            <w:r>
              <w:t>Spiruline en paillettes – Sachet de 100 g</w:t>
            </w:r>
          </w:p>
        </w:tc>
        <w:tc>
          <w:tcPr>
            <w:tcW w:w="1701" w:type="dxa"/>
            <w:shd w:val="clear" w:color="auto" w:fill="auto"/>
          </w:tcPr>
          <w:p w:rsidR="00415435" w:rsidRDefault="000C251F">
            <w:pPr>
              <w:spacing w:after="0" w:line="240" w:lineRule="auto"/>
              <w:jc w:val="center"/>
              <w:rPr>
                <w:b/>
                <w:bCs/>
                <w:color w:val="FFFFFF" w:themeColor="background1"/>
                <w:sz w:val="24"/>
                <w:szCs w:val="24"/>
              </w:rPr>
            </w:pPr>
            <w:r>
              <w:rPr>
                <w:b/>
                <w:bCs/>
                <w:sz w:val="24"/>
                <w:szCs w:val="24"/>
              </w:rPr>
              <w:t>16 €</w:t>
            </w:r>
          </w:p>
        </w:tc>
        <w:tc>
          <w:tcPr>
            <w:tcW w:w="1419" w:type="dxa"/>
            <w:shd w:val="clear" w:color="auto" w:fill="auto"/>
          </w:tcPr>
          <w:p w:rsidR="00415435" w:rsidRDefault="00415435">
            <w:pPr>
              <w:spacing w:after="0" w:line="240" w:lineRule="auto"/>
              <w:jc w:val="center"/>
              <w:rPr>
                <w:b/>
                <w:bCs/>
                <w:color w:val="FFFFFF" w:themeColor="background1"/>
              </w:rPr>
            </w:pPr>
          </w:p>
        </w:tc>
        <w:tc>
          <w:tcPr>
            <w:tcW w:w="1699" w:type="dxa"/>
            <w:shd w:val="clear" w:color="auto" w:fill="auto"/>
          </w:tcPr>
          <w:p w:rsidR="00415435" w:rsidRDefault="00415435">
            <w:pPr>
              <w:spacing w:after="0" w:line="240" w:lineRule="auto"/>
              <w:jc w:val="center"/>
            </w:pPr>
          </w:p>
        </w:tc>
      </w:tr>
      <w:tr w:rsidR="00415435">
        <w:trPr>
          <w:trHeight w:val="427"/>
        </w:trPr>
        <w:tc>
          <w:tcPr>
            <w:tcW w:w="4389" w:type="dxa"/>
            <w:shd w:val="clear" w:color="auto" w:fill="auto"/>
          </w:tcPr>
          <w:p w:rsidR="00415435" w:rsidRDefault="000C251F">
            <w:pPr>
              <w:spacing w:after="0" w:line="240" w:lineRule="auto"/>
              <w:rPr>
                <w:b/>
                <w:bCs/>
                <w:color w:val="FFFFFF" w:themeColor="background1"/>
              </w:rPr>
            </w:pPr>
            <w:r>
              <w:t xml:space="preserve">Spiruline en </w:t>
            </w:r>
            <w:r>
              <w:t>poudre – Sachet de 100 g</w:t>
            </w:r>
          </w:p>
        </w:tc>
        <w:tc>
          <w:tcPr>
            <w:tcW w:w="1701" w:type="dxa"/>
            <w:shd w:val="clear" w:color="auto" w:fill="auto"/>
          </w:tcPr>
          <w:p w:rsidR="00415435" w:rsidRDefault="000C251F">
            <w:pPr>
              <w:spacing w:after="0" w:line="240" w:lineRule="auto"/>
              <w:jc w:val="center"/>
              <w:rPr>
                <w:b/>
                <w:bCs/>
                <w:color w:val="FFFFFF" w:themeColor="background1"/>
                <w:sz w:val="24"/>
                <w:szCs w:val="24"/>
              </w:rPr>
            </w:pPr>
            <w:r>
              <w:rPr>
                <w:b/>
                <w:bCs/>
                <w:sz w:val="24"/>
                <w:szCs w:val="24"/>
              </w:rPr>
              <w:t>17 €</w:t>
            </w:r>
          </w:p>
        </w:tc>
        <w:tc>
          <w:tcPr>
            <w:tcW w:w="1419" w:type="dxa"/>
            <w:shd w:val="clear" w:color="auto" w:fill="auto"/>
          </w:tcPr>
          <w:p w:rsidR="00415435" w:rsidRDefault="00415435">
            <w:pPr>
              <w:spacing w:after="0" w:line="240" w:lineRule="auto"/>
              <w:jc w:val="center"/>
            </w:pPr>
          </w:p>
        </w:tc>
        <w:tc>
          <w:tcPr>
            <w:tcW w:w="1699" w:type="dxa"/>
            <w:shd w:val="clear" w:color="auto" w:fill="auto"/>
          </w:tcPr>
          <w:p w:rsidR="00415435" w:rsidRDefault="00415435">
            <w:pPr>
              <w:spacing w:after="0" w:line="240" w:lineRule="auto"/>
              <w:jc w:val="center"/>
            </w:pPr>
          </w:p>
        </w:tc>
      </w:tr>
      <w:tr w:rsidR="00415435">
        <w:trPr>
          <w:trHeight w:val="419"/>
        </w:trPr>
        <w:tc>
          <w:tcPr>
            <w:tcW w:w="4389" w:type="dxa"/>
            <w:shd w:val="clear" w:color="auto" w:fill="auto"/>
          </w:tcPr>
          <w:p w:rsidR="00415435" w:rsidRDefault="000C251F">
            <w:pPr>
              <w:spacing w:after="0" w:line="240" w:lineRule="auto"/>
              <w:rPr>
                <w:b/>
                <w:bCs/>
                <w:color w:val="FFFFFF" w:themeColor="background1"/>
              </w:rPr>
            </w:pPr>
            <w:r>
              <w:t xml:space="preserve">Mélange </w:t>
            </w:r>
            <w:proofErr w:type="spellStart"/>
            <w:r>
              <w:t>Koktel</w:t>
            </w:r>
            <w:proofErr w:type="spellEnd"/>
            <w:r>
              <w:t xml:space="preserve"> – Sachet de 100 g</w:t>
            </w:r>
          </w:p>
        </w:tc>
        <w:tc>
          <w:tcPr>
            <w:tcW w:w="1701" w:type="dxa"/>
            <w:shd w:val="clear" w:color="auto" w:fill="auto"/>
          </w:tcPr>
          <w:p w:rsidR="00415435" w:rsidRDefault="000C251F">
            <w:pPr>
              <w:spacing w:after="0" w:line="240" w:lineRule="auto"/>
              <w:jc w:val="center"/>
              <w:rPr>
                <w:b/>
                <w:bCs/>
                <w:color w:val="FFFFFF" w:themeColor="background1"/>
                <w:sz w:val="24"/>
                <w:szCs w:val="24"/>
              </w:rPr>
            </w:pPr>
            <w:r>
              <w:rPr>
                <w:b/>
                <w:bCs/>
                <w:sz w:val="24"/>
                <w:szCs w:val="24"/>
              </w:rPr>
              <w:t>17 €</w:t>
            </w:r>
          </w:p>
        </w:tc>
        <w:tc>
          <w:tcPr>
            <w:tcW w:w="1419" w:type="dxa"/>
            <w:shd w:val="clear" w:color="auto" w:fill="auto"/>
          </w:tcPr>
          <w:p w:rsidR="00415435" w:rsidRDefault="00415435">
            <w:pPr>
              <w:spacing w:after="0" w:line="240" w:lineRule="auto"/>
              <w:jc w:val="center"/>
            </w:pPr>
          </w:p>
        </w:tc>
        <w:tc>
          <w:tcPr>
            <w:tcW w:w="1699" w:type="dxa"/>
            <w:shd w:val="clear" w:color="auto" w:fill="auto"/>
          </w:tcPr>
          <w:p w:rsidR="00415435" w:rsidRDefault="00415435">
            <w:pPr>
              <w:spacing w:after="0" w:line="240" w:lineRule="auto"/>
              <w:jc w:val="center"/>
            </w:pPr>
          </w:p>
        </w:tc>
      </w:tr>
      <w:tr w:rsidR="00415435">
        <w:trPr>
          <w:trHeight w:val="540"/>
        </w:trPr>
        <w:tc>
          <w:tcPr>
            <w:tcW w:w="4389" w:type="dxa"/>
            <w:shd w:val="clear" w:color="auto" w:fill="auto"/>
          </w:tcPr>
          <w:p w:rsidR="00415435" w:rsidRDefault="000C251F">
            <w:pPr>
              <w:spacing w:after="0" w:line="240" w:lineRule="auto"/>
              <w:rPr>
                <w:b/>
                <w:bCs/>
                <w:color w:val="FFFFFF" w:themeColor="background1"/>
              </w:rPr>
            </w:pPr>
            <w:r>
              <w:t xml:space="preserve">Mélange </w:t>
            </w:r>
            <w:proofErr w:type="spellStart"/>
            <w:r>
              <w:t>Koktel</w:t>
            </w:r>
            <w:proofErr w:type="spellEnd"/>
            <w:r>
              <w:t xml:space="preserve"> – Sachet de 40 g</w:t>
            </w:r>
          </w:p>
        </w:tc>
        <w:tc>
          <w:tcPr>
            <w:tcW w:w="1701" w:type="dxa"/>
            <w:shd w:val="clear" w:color="auto" w:fill="auto"/>
          </w:tcPr>
          <w:p w:rsidR="00415435" w:rsidRDefault="000C251F">
            <w:pPr>
              <w:spacing w:after="0" w:line="240" w:lineRule="auto"/>
              <w:jc w:val="center"/>
              <w:rPr>
                <w:b/>
                <w:bCs/>
                <w:color w:val="FFFFFF" w:themeColor="background1"/>
                <w:sz w:val="24"/>
                <w:szCs w:val="24"/>
              </w:rPr>
            </w:pPr>
            <w:r>
              <w:rPr>
                <w:b/>
                <w:bCs/>
                <w:sz w:val="24"/>
                <w:szCs w:val="24"/>
              </w:rPr>
              <w:t>7,50 €</w:t>
            </w:r>
          </w:p>
        </w:tc>
        <w:tc>
          <w:tcPr>
            <w:tcW w:w="1419" w:type="dxa"/>
            <w:shd w:val="clear" w:color="auto" w:fill="auto"/>
          </w:tcPr>
          <w:p w:rsidR="00415435" w:rsidRDefault="00415435">
            <w:pPr>
              <w:spacing w:after="0" w:line="240" w:lineRule="auto"/>
              <w:jc w:val="center"/>
            </w:pPr>
          </w:p>
        </w:tc>
        <w:tc>
          <w:tcPr>
            <w:tcW w:w="1699" w:type="dxa"/>
            <w:shd w:val="clear" w:color="auto" w:fill="auto"/>
          </w:tcPr>
          <w:p w:rsidR="00415435" w:rsidRDefault="00415435">
            <w:pPr>
              <w:spacing w:after="0" w:line="240" w:lineRule="auto"/>
              <w:jc w:val="center"/>
            </w:pPr>
          </w:p>
        </w:tc>
      </w:tr>
      <w:tr w:rsidR="00415435">
        <w:tc>
          <w:tcPr>
            <w:tcW w:w="4389" w:type="dxa"/>
            <w:shd w:val="clear" w:color="auto" w:fill="auto"/>
          </w:tcPr>
          <w:p w:rsidR="00415435" w:rsidRDefault="00415435">
            <w:pPr>
              <w:spacing w:after="0" w:line="240" w:lineRule="auto"/>
              <w:rPr>
                <w:b/>
                <w:bCs/>
                <w:color w:val="FFFFFF" w:themeColor="background1"/>
              </w:rPr>
            </w:pPr>
          </w:p>
        </w:tc>
        <w:tc>
          <w:tcPr>
            <w:tcW w:w="1701" w:type="dxa"/>
            <w:shd w:val="clear" w:color="auto" w:fill="auto"/>
          </w:tcPr>
          <w:p w:rsidR="00415435" w:rsidRDefault="00415435">
            <w:pPr>
              <w:spacing w:after="0" w:line="240" w:lineRule="auto"/>
              <w:jc w:val="center"/>
              <w:rPr>
                <w:b/>
                <w:bCs/>
                <w:color w:val="FFFFFF" w:themeColor="background1"/>
              </w:rPr>
            </w:pPr>
          </w:p>
        </w:tc>
        <w:tc>
          <w:tcPr>
            <w:tcW w:w="1419" w:type="dxa"/>
            <w:shd w:val="clear" w:color="auto" w:fill="auto"/>
          </w:tcPr>
          <w:p w:rsidR="00415435" w:rsidRDefault="00415435">
            <w:pPr>
              <w:spacing w:after="0" w:line="240" w:lineRule="auto"/>
              <w:jc w:val="center"/>
            </w:pPr>
          </w:p>
        </w:tc>
        <w:tc>
          <w:tcPr>
            <w:tcW w:w="1699" w:type="dxa"/>
            <w:shd w:val="clear" w:color="auto" w:fill="auto"/>
          </w:tcPr>
          <w:p w:rsidR="00415435" w:rsidRDefault="00415435">
            <w:pPr>
              <w:spacing w:after="0" w:line="240" w:lineRule="auto"/>
              <w:jc w:val="center"/>
            </w:pPr>
          </w:p>
        </w:tc>
      </w:tr>
      <w:tr w:rsidR="00415435">
        <w:tc>
          <w:tcPr>
            <w:tcW w:w="4389" w:type="dxa"/>
            <w:shd w:val="clear" w:color="auto" w:fill="auto"/>
          </w:tcPr>
          <w:p w:rsidR="00415435" w:rsidRDefault="00415435">
            <w:pPr>
              <w:spacing w:after="0" w:line="240" w:lineRule="auto"/>
              <w:rPr>
                <w:b/>
                <w:bCs/>
                <w:color w:val="FFFFFF" w:themeColor="background1"/>
              </w:rPr>
            </w:pPr>
          </w:p>
        </w:tc>
        <w:tc>
          <w:tcPr>
            <w:tcW w:w="1701" w:type="dxa"/>
            <w:shd w:val="clear" w:color="auto" w:fill="auto"/>
          </w:tcPr>
          <w:p w:rsidR="00415435" w:rsidRDefault="000C251F">
            <w:pPr>
              <w:spacing w:after="0" w:line="240" w:lineRule="auto"/>
              <w:jc w:val="center"/>
              <w:rPr>
                <w:b/>
                <w:bCs/>
              </w:rPr>
            </w:pPr>
            <w:r>
              <w:rPr>
                <w:b/>
                <w:bCs/>
                <w:sz w:val="28"/>
                <w:szCs w:val="28"/>
              </w:rPr>
              <w:t>TOTAL :</w:t>
            </w:r>
          </w:p>
        </w:tc>
        <w:tc>
          <w:tcPr>
            <w:tcW w:w="1419" w:type="dxa"/>
            <w:shd w:val="clear" w:color="auto" w:fill="auto"/>
          </w:tcPr>
          <w:p w:rsidR="00415435" w:rsidRDefault="00415435">
            <w:pPr>
              <w:spacing w:after="0" w:line="240" w:lineRule="auto"/>
              <w:jc w:val="center"/>
            </w:pPr>
          </w:p>
        </w:tc>
        <w:tc>
          <w:tcPr>
            <w:tcW w:w="1699" w:type="dxa"/>
            <w:shd w:val="clear" w:color="auto" w:fill="auto"/>
          </w:tcPr>
          <w:p w:rsidR="00415435" w:rsidRDefault="00415435">
            <w:pPr>
              <w:spacing w:after="0" w:line="240" w:lineRule="auto"/>
              <w:jc w:val="center"/>
            </w:pPr>
          </w:p>
        </w:tc>
      </w:tr>
    </w:tbl>
    <w:p w:rsidR="00415435" w:rsidRDefault="00415435"/>
    <w:p w:rsidR="00415435" w:rsidRDefault="00BB0EDD">
      <w:r>
        <w:t>Commande à passer avant le vendredi 21 avril pour une livraison en mai.</w:t>
      </w:r>
    </w:p>
    <w:p w:rsidR="00415435" w:rsidRDefault="00415435"/>
    <w:p w:rsidR="00415435" w:rsidRDefault="000C251F">
      <w:pPr>
        <w:jc w:val="center"/>
      </w:pPr>
      <w:r>
        <w:t>www.la-spiruline-du-jardin.com</w:t>
      </w:r>
    </w:p>
    <w:sectPr w:rsidR="00415435">
      <w:pgSz w:w="11906" w:h="16838"/>
      <w:pgMar w:top="426"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35"/>
    <w:rsid w:val="000C251F"/>
    <w:rsid w:val="00415435"/>
    <w:rsid w:val="00BB0EDD"/>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3D6DC"/>
  <w15:docId w15:val="{549FACE4-6EEB-463A-A8A9-1A10C859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B02817"/>
    <w:rPr>
      <w:color w:val="0563C1" w:themeColor="hyperlink"/>
      <w:u w:val="single"/>
    </w:rPr>
  </w:style>
  <w:style w:type="character" w:styleId="Mentionnonrsolue">
    <w:name w:val="Unresolved Mention"/>
    <w:basedOn w:val="Policepardfaut"/>
    <w:uiPriority w:val="99"/>
    <w:semiHidden/>
    <w:unhideWhenUsed/>
    <w:qFormat/>
    <w:rsid w:val="00B02817"/>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Paragraphedeliste">
    <w:name w:val="List Paragraph"/>
    <w:basedOn w:val="Normal"/>
    <w:uiPriority w:val="34"/>
    <w:qFormat/>
    <w:rsid w:val="00625440"/>
    <w:pPr>
      <w:ind w:left="720"/>
      <w:contextualSpacing/>
    </w:pPr>
  </w:style>
  <w:style w:type="table" w:styleId="Grilledutableau">
    <w:name w:val="Table Grid"/>
    <w:basedOn w:val="TableauNormal"/>
    <w:uiPriority w:val="39"/>
    <w:rsid w:val="00004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1310</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 Optim-ism</dc:creator>
  <dc:description/>
  <cp:lastModifiedBy>Anim ADHERENT</cp:lastModifiedBy>
  <cp:revision>3</cp:revision>
  <cp:lastPrinted>2021-06-04T14:29:00Z</cp:lastPrinted>
  <dcterms:created xsi:type="dcterms:W3CDTF">2023-03-29T09:34:00Z</dcterms:created>
  <dcterms:modified xsi:type="dcterms:W3CDTF">2023-03-29T09:34:00Z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